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hint="default" w:eastAsia="宋体"/>
          <w:b/>
          <w:sz w:val="24"/>
          <w:lang w:val="en-US" w:eastAsia="zh-CN"/>
        </w:rPr>
      </w:pPr>
      <w:r>
        <w:rPr>
          <w:rFonts w:hint="eastAsia"/>
          <w:b/>
          <w:sz w:val="24"/>
        </w:rPr>
        <w:t>3GPP TSG-RAN WG5 Meeting #10</w:t>
      </w:r>
      <w:r>
        <w:rPr>
          <w:rFonts w:hint="eastAsia"/>
          <w:b/>
          <w:sz w:val="24"/>
          <w:lang w:val="en-US" w:eastAsia="zh-CN"/>
        </w:rPr>
        <w:t>3</w:t>
      </w:r>
      <w:r>
        <w:rPr>
          <w:b/>
          <w:sz w:val="24"/>
        </w:rPr>
        <w:tab/>
      </w:r>
      <w:r>
        <w:rPr>
          <w:rFonts w:hint="eastAsia"/>
          <w:b/>
          <w:sz w:val="24"/>
          <w:highlight w:val="none"/>
        </w:rPr>
        <w:t>R5-243039</w:t>
      </w:r>
    </w:p>
    <w:p>
      <w:pPr>
        <w:pStyle w:val="138"/>
        <w:tabs>
          <w:tab w:val="right" w:pos="9639"/>
        </w:tabs>
        <w:spacing w:after="0"/>
        <w:outlineLvl w:val="0"/>
        <w:rPr>
          <w:b/>
          <w:sz w:val="24"/>
        </w:rPr>
      </w:pPr>
      <w:r>
        <w:fldChar w:fldCharType="begin"/>
      </w:r>
      <w:r>
        <w:instrText xml:space="preserve"> DOCPROPERTY  Location  \* MERGEFORMAT </w:instrText>
      </w:r>
      <w:r>
        <w:fldChar w:fldCharType="separate"/>
      </w:r>
      <w:r>
        <w:rPr>
          <w:rFonts w:hint="eastAsia" w:eastAsia="宋体"/>
          <w:b/>
          <w:sz w:val="24"/>
          <w:lang w:val="en-US" w:eastAsia="zh-CN"/>
        </w:rPr>
        <w:t>F</w:t>
      </w:r>
      <w:r>
        <w:rPr>
          <w:b/>
          <w:sz w:val="24"/>
        </w:rPr>
        <w:fldChar w:fldCharType="end"/>
      </w:r>
      <w:r>
        <w:rPr>
          <w:rFonts w:hint="eastAsia" w:eastAsia="宋体"/>
          <w:b/>
          <w:sz w:val="24"/>
          <w:lang w:val="en-US" w:eastAsia="zh-CN"/>
        </w:rPr>
        <w:t>ukuoka</w:t>
      </w:r>
      <w:r>
        <w:rPr>
          <w:b/>
          <w:sz w:val="24"/>
        </w:rPr>
        <w:t xml:space="preserve">, </w:t>
      </w:r>
      <w:r>
        <w:rPr>
          <w:rFonts w:hint="eastAsia" w:eastAsia="宋体"/>
          <w:b/>
          <w:sz w:val="24"/>
          <w:lang w:val="en-US" w:eastAsia="zh-CN"/>
        </w:rPr>
        <w:t>Japan</w:t>
      </w:r>
      <w:r>
        <w:rPr>
          <w:b/>
          <w:sz w:val="24"/>
        </w:rPr>
        <w:t xml:space="preserve">, </w:t>
      </w:r>
      <w:r>
        <w:fldChar w:fldCharType="begin"/>
      </w:r>
      <w:r>
        <w:instrText xml:space="preserve"> DOCPROPERTY  StartDate  \* MERGEFORMAT </w:instrText>
      </w:r>
      <w:r>
        <w:fldChar w:fldCharType="separate"/>
      </w:r>
      <w:r>
        <w:rPr>
          <w:rFonts w:hint="eastAsia" w:eastAsia="宋体"/>
          <w:b/>
          <w:sz w:val="24"/>
          <w:lang w:val="en-US" w:eastAsia="zh-CN"/>
        </w:rPr>
        <w:t>M</w:t>
      </w:r>
      <w:r>
        <w:rPr>
          <w:b/>
          <w:sz w:val="24"/>
        </w:rPr>
        <w:fldChar w:fldCharType="end"/>
      </w:r>
      <w:r>
        <w:rPr>
          <w:rFonts w:hint="eastAsia" w:eastAsia="宋体"/>
          <w:b/>
          <w:sz w:val="24"/>
          <w:lang w:val="en-US" w:eastAsia="zh-CN"/>
        </w:rPr>
        <w:t>ay 20</w:t>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24, 2024</w:t>
      </w:r>
      <w:r>
        <w:rPr>
          <w:b/>
          <w:sz w:val="24"/>
        </w:rPr>
        <w:fldChar w:fldCharType="end"/>
      </w:r>
      <w:r>
        <w:rPr>
          <w:b/>
          <w:sz w:val="24"/>
        </w:rPr>
        <w:tab/>
      </w:r>
    </w:p>
    <w:p>
      <w:pPr>
        <w:pStyle w:val="138"/>
        <w:tabs>
          <w:tab w:val="right" w:pos="9639"/>
        </w:tabs>
        <w:spacing w:after="0"/>
        <w:rPr>
          <w:b/>
          <w:sz w:val="24"/>
        </w:rPr>
      </w:pPr>
    </w:p>
    <w:p>
      <w:pPr>
        <w:pStyle w:val="138"/>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4</w:t>
      </w:r>
      <w:r>
        <w:rPr>
          <w:b/>
          <w:sz w:val="24"/>
        </w:rPr>
        <w:tab/>
      </w:r>
      <w:r>
        <w:rPr>
          <w:b/>
          <w:sz w:val="24"/>
          <w:highlight w:val="yellow"/>
        </w:rPr>
        <w:t>RP-2</w:t>
      </w:r>
      <w:r>
        <w:rPr>
          <w:rFonts w:hint="default"/>
          <w:b/>
          <w:sz w:val="24"/>
          <w:highlight w:val="yellow"/>
          <w:lang w:val="en-US"/>
        </w:rPr>
        <w:t>4</w:t>
      </w:r>
      <w:r>
        <w:rPr>
          <w:b/>
          <w:sz w:val="24"/>
          <w:highlight w:val="yellow"/>
          <w:lang w:val="en-US"/>
        </w:rPr>
        <w:t>XXXX</w:t>
      </w:r>
    </w:p>
    <w:p>
      <w:pPr>
        <w:pStyle w:val="138"/>
        <w:tabs>
          <w:tab w:val="right" w:pos="9639"/>
        </w:tabs>
        <w:spacing w:after="0"/>
        <w:rPr>
          <w:b/>
          <w:sz w:val="24"/>
          <w:highlight w:val="none"/>
        </w:rPr>
      </w:pPr>
      <w:r>
        <w:rPr>
          <w:rFonts w:hint="eastAsia"/>
          <w:b/>
          <w:sz w:val="24"/>
          <w:lang w:val="en-US" w:eastAsia="zh-CN"/>
        </w:rPr>
        <w:t>Shanghai</w:t>
      </w:r>
      <w:r>
        <w:rPr>
          <w:rFonts w:hint="eastAsia"/>
          <w:b/>
          <w:sz w:val="24"/>
          <w:lang w:val="en-US"/>
        </w:rPr>
        <w:t xml:space="preserve">, </w:t>
      </w:r>
      <w:r>
        <w:rPr>
          <w:rFonts w:hint="eastAsia"/>
          <w:b/>
          <w:sz w:val="24"/>
          <w:lang w:val="en-US" w:eastAsia="zh-CN"/>
        </w:rPr>
        <w:t>China</w:t>
      </w:r>
      <w:r>
        <w:rPr>
          <w:rFonts w:hint="eastAsia"/>
          <w:b/>
          <w:sz w:val="24"/>
          <w:lang w:val="en-US"/>
        </w:rPr>
        <w:t xml:space="preserve">, </w:t>
      </w:r>
      <w:r>
        <w:rPr>
          <w:rFonts w:hint="eastAsia"/>
          <w:b/>
          <w:sz w:val="24"/>
          <w:lang w:val="en-US" w:eastAsia="zh-CN"/>
        </w:rPr>
        <w:t>Jun</w:t>
      </w:r>
      <w:r>
        <w:rPr>
          <w:rFonts w:hint="eastAsia"/>
          <w:b/>
          <w:sz w:val="24"/>
          <w:lang w:val="en-US"/>
        </w:rPr>
        <w:t xml:space="preserve"> 1</w:t>
      </w:r>
      <w:r>
        <w:rPr>
          <w:rFonts w:hint="eastAsia"/>
          <w:b/>
          <w:sz w:val="24"/>
          <w:lang w:val="en-US" w:eastAsia="zh-CN"/>
        </w:rPr>
        <w:t>7</w:t>
      </w:r>
      <w:r>
        <w:rPr>
          <w:rFonts w:hint="eastAsia"/>
          <w:b/>
          <w:sz w:val="24"/>
          <w:lang w:val="en-US"/>
        </w:rPr>
        <w:t xml:space="preserve"> - </w:t>
      </w:r>
      <w:r>
        <w:rPr>
          <w:rFonts w:hint="eastAsia"/>
          <w:b/>
          <w:sz w:val="24"/>
          <w:lang w:val="en-US" w:eastAsia="zh-CN"/>
        </w:rPr>
        <w:t>20</w:t>
      </w:r>
      <w:r>
        <w:rPr>
          <w:rFonts w:hint="eastAsia"/>
          <w:b/>
          <w:sz w:val="24"/>
          <w:lang w:val="en-US"/>
        </w:rPr>
        <w:t>, 202</w:t>
      </w:r>
      <w:r>
        <w:rPr>
          <w:rFonts w:hint="eastAsia"/>
          <w:b/>
          <w:sz w:val="24"/>
          <w:lang w:val="en-US" w:eastAsia="zh-CN"/>
        </w:rPr>
        <w:t>4</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w:t>
      </w:r>
      <w:r>
        <w:rPr>
          <w:rFonts w:hint="eastAsia" w:ascii="Arial" w:hAnsi="Arial" w:eastAsia="宋体" w:cs="Arial"/>
          <w:highlight w:val="none"/>
          <w:lang w:val="en-US" w:eastAsia="zh-CN"/>
        </w:rPr>
        <w:t>5</w:t>
      </w:r>
      <w:r>
        <w:rPr>
          <w:rFonts w:ascii="Arial" w:hAnsi="Arial" w:cs="Arial"/>
          <w:highlight w:val="none"/>
        </w:rPr>
        <w:t>.</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"http://www.3gpp.org/ftp/tsg_ran/TSG_RAN/TSGR_102/Docs/RP-233414.zip"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RP-233414</w:t>
            </w:r>
            <w:r>
              <w:rPr>
                <w:rFonts w:hint="eastAsia"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Dec.</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default" w:ascii="Arial" w:hAnsi="Arial" w:cs="Arial" w:eastAsiaTheme="minorEastAsia"/>
                <w:color w:val="FF9900"/>
                <w:highlight w:val="none"/>
                <w:lang w:val="en-US"/>
              </w:rPr>
              <w:t>5</w:t>
            </w:r>
            <w:r>
              <w:rPr>
                <w:rFonts w:hint="eastAsia" w:ascii="Arial" w:hAnsi="Arial" w:cs="Arial" w:eastAsiaTheme="minorEastAsia"/>
                <w:color w:val="FF9900"/>
                <w:highlight w:val="none"/>
                <w:lang w:val="en-US" w:eastAsia="zh-CN"/>
              </w:rPr>
              <w:t>2</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103</w:t>
      </w:r>
      <w:r>
        <w:rPr>
          <w:rFonts w:ascii="Arial" w:hAnsi="Arial" w:cs="Arial"/>
          <w:highlight w:val="none"/>
        </w:rPr>
        <w:t xml:space="preserve"> (the details can be found in </w:t>
      </w:r>
      <w:r>
        <w:rPr>
          <w:rFonts w:hint="eastAsia" w:ascii="Arial" w:hAnsi="Arial" w:eastAsia="宋体" w:cs="Arial"/>
          <w:highlight w:val="none"/>
          <w:lang w:eastAsia="zh-CN"/>
        </w:rPr>
        <w:t>R5-</w:t>
      </w:r>
      <w:r>
        <w:rPr>
          <w:rFonts w:hint="eastAsia" w:ascii="Arial" w:hAnsi="Arial" w:cs="Arial"/>
          <w:highlight w:val="none"/>
          <w:lang w:val="en-US" w:eastAsia="zh-CN"/>
        </w:rPr>
        <w:t>243040</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5</w:t>
      </w:r>
      <w:r>
        <w:rPr>
          <w:rFonts w:hint="eastAsia" w:ascii="Arial" w:hAnsi="Arial" w:cs="Arial" w:eastAsiaTheme="minorEastAsia"/>
          <w:highlight w:val="none"/>
          <w:lang w:val="en-US" w:eastAsia="zh-CN"/>
        </w:rPr>
        <w:t>2</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6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bookmarkStart w:id="0" w:name="_GoBack"/>
      <w:bookmarkEnd w:id="0"/>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eastAsia" w:ascii="Arial" w:hAnsi="Arial" w:cs="Arial" w:eastAsiaTheme="minorEastAsia"/>
          <w:highlight w:val="none"/>
          <w:lang w:val="en-US" w:eastAsia="zh-CN"/>
        </w:rPr>
        <w:t>4</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Tdocs</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17</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4</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yellow"/>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w:t>
      </w:r>
      <w:r>
        <w:rPr>
          <w:rFonts w:hint="eastAsia" w:ascii="Arial" w:hAnsi="Arial" w:eastAsia="宋体" w:cs="Arial"/>
          <w:bCs/>
          <w:highlight w:val="none"/>
          <w:lang w:val="en-US" w:eastAsia="zh-CN"/>
        </w:rPr>
        <w:t>43040</w:t>
      </w:r>
      <w:r>
        <w:rPr>
          <w:rFonts w:hint="eastAsia" w:ascii="Arial" w:hAnsi="Arial" w:cs="Arial"/>
          <w:bCs/>
          <w:highlight w:val="none"/>
        </w:rPr>
        <w:tab/>
      </w:r>
      <w:r>
        <w:rPr>
          <w:rFonts w:hint="eastAsia" w:ascii="Arial" w:hAnsi="Arial" w:cs="Arial"/>
          <w:bCs/>
          <w:highlight w:val="none"/>
        </w:rPr>
        <w:t>WP NR_Rel-16_CA_DC after RAN5#</w:t>
      </w:r>
      <w:r>
        <w:rPr>
          <w:rFonts w:hint="eastAsia" w:ascii="Arial" w:hAnsi="Arial" w:eastAsia="宋体" w:cs="Arial"/>
          <w:bCs/>
          <w:highlight w:val="none"/>
          <w:lang w:val="en-US" w:eastAsia="zh-CN"/>
        </w:rPr>
        <w:t>103</w:t>
      </w:r>
      <w:r>
        <w:rPr>
          <w:rFonts w:hint="eastAsia" w:ascii="Arial" w:hAnsi="Arial" w:cs="Arial"/>
          <w:bCs/>
          <w:highlight w:val="none"/>
        </w:rPr>
        <w:t>, 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R5-242445</w:t>
      </w:r>
      <w:r>
        <w:rPr>
          <w:rFonts w:hint="eastAsia" w:ascii="Arial" w:hAnsi="Arial" w:cs="Arial"/>
          <w:bCs/>
          <w:highlight w:val="none"/>
        </w:rPr>
        <w:tab/>
      </w:r>
      <w:r>
        <w:rPr>
          <w:rFonts w:hint="eastAsia" w:ascii="Arial" w:hAnsi="Arial" w:cs="Arial"/>
          <w:bCs/>
          <w:highlight w:val="none"/>
        </w:rPr>
        <w:t>PRD21 CDS PC3 NRCA 2 bands combos, KDDI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R5-242447</w:t>
      </w:r>
      <w:r>
        <w:rPr>
          <w:rFonts w:hint="eastAsia" w:ascii="Arial" w:hAnsi="Arial" w:cs="Arial"/>
          <w:bCs/>
          <w:highlight w:val="none"/>
        </w:rPr>
        <w:tab/>
      </w:r>
      <w:r>
        <w:rPr>
          <w:rFonts w:hint="eastAsia" w:ascii="Arial" w:hAnsi="Arial" w:cs="Arial"/>
          <w:bCs/>
          <w:highlight w:val="none"/>
        </w:rPr>
        <w:t>PRD21 CDS PC3 NRCA CA_n3A-n28A-n77A, KDDI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R5-242597</w:t>
      </w:r>
      <w:r>
        <w:rPr>
          <w:rFonts w:hint="eastAsia" w:ascii="Arial" w:hAnsi="Arial" w:cs="Arial"/>
          <w:bCs/>
          <w:highlight w:val="none"/>
        </w:rPr>
        <w:tab/>
      </w:r>
      <w:r>
        <w:rPr>
          <w:rFonts w:hint="eastAsia" w:ascii="Arial" w:hAnsi="Arial" w:cs="Arial"/>
          <w:bCs/>
          <w:highlight w:val="none"/>
        </w:rPr>
        <w:t>PRD21 CDS PC3 EN-DC DC_18A_n257G, KDDI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R5-243033</w:t>
      </w:r>
      <w:r>
        <w:rPr>
          <w:rFonts w:hint="eastAsia" w:ascii="Arial" w:hAnsi="Arial" w:cs="Arial"/>
          <w:bCs/>
          <w:highlight w:val="none"/>
        </w:rPr>
        <w:tab/>
      </w:r>
      <w:r>
        <w:rPr>
          <w:rFonts w:hint="eastAsia" w:ascii="Arial" w:hAnsi="Arial" w:cs="Arial"/>
          <w:bCs/>
          <w:highlight w:val="none"/>
        </w:rPr>
        <w:t>PRD21 CDS PC3 for 3 bands CA_n1A-n8A-n78A and CA_n3A-n8A-n78A, China Unicom</w:t>
      </w:r>
    </w:p>
    <w:p>
      <w:pPr>
        <w:overflowPunct/>
        <w:autoSpaceDE/>
        <w:autoSpaceDN/>
        <w:snapToGrid w:val="0"/>
        <w:spacing w:after="0"/>
        <w:textAlignment w:val="auto"/>
        <w:rPr>
          <w:rFonts w:hint="eastAsia" w:ascii="Arial" w:hAnsi="Arial" w:cs="Arial" w:eastAsiaTheme="minorEastAsia"/>
          <w:b/>
          <w:highlight w:val="yellow"/>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R5-242240</w:t>
      </w:r>
      <w:r>
        <w:rPr>
          <w:rFonts w:hint="default" w:ascii="Arial" w:hAnsi="Arial" w:cs="Arial"/>
          <w:bCs/>
          <w:highlight w:val="none"/>
          <w:lang w:val="en-US"/>
        </w:rPr>
        <w:tab/>
      </w:r>
      <w:r>
        <w:rPr>
          <w:rFonts w:hint="default" w:ascii="Arial" w:hAnsi="Arial" w:cs="Arial"/>
          <w:bCs/>
          <w:highlight w:val="none"/>
          <w:lang w:val="en-US"/>
        </w:rPr>
        <w:t>Addition of test frequencies for CA_n28A-n40A</w:t>
      </w:r>
      <w:r>
        <w:rPr>
          <w:rFonts w:hint="eastAsia" w:ascii="Arial" w:hAnsi="Arial" w:eastAsia="宋体" w:cs="Arial"/>
          <w:bCs/>
          <w:highlight w:val="none"/>
          <w:lang w:val="en-US" w:eastAsia="zh-CN"/>
        </w:rPr>
        <w:t>,</w:t>
      </w:r>
      <w:r>
        <w:rPr>
          <w:rFonts w:hint="default" w:ascii="Arial" w:hAnsi="Arial" w:cs="Arial"/>
          <w:bCs/>
          <w:highlight w:val="none"/>
          <w:lang w:val="en-US"/>
        </w:rPr>
        <w:t xml:space="preserve"> KDDI Corporation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R5-242450</w:t>
      </w:r>
      <w:r>
        <w:rPr>
          <w:rFonts w:hint="default" w:ascii="Arial" w:hAnsi="Arial" w:cs="Arial"/>
          <w:bCs/>
          <w:highlight w:val="none"/>
          <w:lang w:val="en-US"/>
        </w:rPr>
        <w:tab/>
      </w:r>
      <w:r>
        <w:rPr>
          <w:rFonts w:hint="default" w:ascii="Arial" w:hAnsi="Arial" w:cs="Arial"/>
          <w:bCs/>
          <w:highlight w:val="none"/>
          <w:lang w:val="en-US"/>
        </w:rPr>
        <w:t>Update for additional ENDC band configurations , Verizon Spain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R5-242515</w:t>
      </w:r>
      <w:r>
        <w:rPr>
          <w:rFonts w:hint="default" w:ascii="Arial" w:hAnsi="Arial" w:cs="Arial"/>
          <w:bCs/>
          <w:highlight w:val="none"/>
          <w:lang w:val="en-US"/>
        </w:rPr>
        <w:tab/>
      </w:r>
      <w:r>
        <w:rPr>
          <w:rFonts w:hint="default" w:ascii="Arial" w:hAnsi="Arial" w:cs="Arial"/>
          <w:bCs/>
          <w:highlight w:val="none"/>
          <w:lang w:val="en-US"/>
        </w:rPr>
        <w:t>Test frequency parameters corrections for CA n48B, Keysight Technologies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R5-242590</w:t>
      </w:r>
      <w:r>
        <w:rPr>
          <w:rFonts w:hint="default" w:ascii="Arial" w:hAnsi="Arial" w:cs="Arial"/>
          <w:bCs/>
          <w:highlight w:val="none"/>
          <w:lang w:val="en-US"/>
        </w:rPr>
        <w:tab/>
      </w:r>
      <w:r>
        <w:rPr>
          <w:rFonts w:hint="default" w:ascii="Arial" w:hAnsi="Arial" w:cs="Arial"/>
          <w:bCs/>
          <w:highlight w:val="none"/>
          <w:lang w:val="en-US"/>
        </w:rPr>
        <w:t>Addition of test frequencies for new EN-DC comb within FR2, KDDI Corporation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R5-243600</w:t>
      </w:r>
      <w:r>
        <w:rPr>
          <w:rFonts w:hint="default" w:ascii="Arial" w:hAnsi="Arial" w:cs="Arial"/>
          <w:bCs/>
          <w:highlight w:val="none"/>
          <w:lang w:val="en-US"/>
        </w:rPr>
        <w:tab/>
      </w:r>
      <w:r>
        <w:rPr>
          <w:rFonts w:hint="default" w:ascii="Arial" w:hAnsi="Arial" w:cs="Arial"/>
          <w:bCs/>
          <w:highlight w:val="none"/>
          <w:lang w:val="en-US"/>
        </w:rPr>
        <w:t>Update inter-band NR CA configuration for CA_n3A-n8A-n78A, China Unicom</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R5-243533</w:t>
      </w:r>
      <w:r>
        <w:rPr>
          <w:rFonts w:hint="default" w:ascii="Arial" w:hAnsi="Arial" w:cs="Arial"/>
          <w:bCs/>
          <w:highlight w:val="none"/>
          <w:lang w:val="en-US"/>
        </w:rPr>
        <w:tab/>
      </w:r>
      <w:r>
        <w:rPr>
          <w:rFonts w:hint="default" w:ascii="Arial" w:hAnsi="Arial" w:cs="Arial"/>
          <w:bCs/>
          <w:highlight w:val="none"/>
          <w:lang w:val="en-US"/>
        </w:rPr>
        <w:t>Addition of signalling test frequencies for CA_n48C, Ericsson</w:t>
      </w:r>
    </w:p>
    <w:p>
      <w:pPr>
        <w:overflowPunct/>
        <w:autoSpaceDE/>
        <w:autoSpaceDN/>
        <w:snapToGrid w:val="0"/>
        <w:spacing w:after="0"/>
        <w:textAlignment w:val="auto"/>
        <w:rPr>
          <w:rFonts w:ascii="Arial" w:hAnsi="Arial" w:cs="Arial"/>
          <w:b/>
          <w:highlight w:val="yellow"/>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R5-243812</w:t>
      </w:r>
      <w:r>
        <w:rPr>
          <w:rFonts w:hint="default" w:ascii="Arial" w:hAnsi="Arial" w:cs="Arial"/>
          <w:bCs/>
          <w:highlight w:val="none"/>
          <w:lang w:val="en-US"/>
        </w:rPr>
        <w:tab/>
      </w:r>
      <w:r>
        <w:rPr>
          <w:rFonts w:hint="eastAsia" w:ascii="Arial" w:hAnsi="Arial" w:cs="Arial"/>
          <w:bCs/>
          <w:highlight w:val="none"/>
        </w:rPr>
        <w:t>Addition of UE capability for CA_n28A-n40A</w:t>
      </w:r>
      <w:r>
        <w:rPr>
          <w:rFonts w:hint="default" w:ascii="Arial" w:hAnsi="Arial" w:cs="Arial"/>
          <w:bCs/>
          <w:highlight w:val="none"/>
          <w:lang w:val="en-US"/>
        </w:rPr>
        <w:t>, KDDI Corporation</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R5-242255</w:t>
      </w:r>
      <w:r>
        <w:rPr>
          <w:rFonts w:hint="default" w:ascii="Arial" w:hAnsi="Arial" w:cs="Arial"/>
          <w:bCs/>
          <w:highlight w:val="none"/>
          <w:lang w:val="en-US"/>
        </w:rPr>
        <w:tab/>
      </w:r>
      <w:r>
        <w:rPr>
          <w:rFonts w:hint="eastAsia" w:ascii="Arial" w:hAnsi="Arial" w:cs="Arial"/>
          <w:bCs/>
          <w:highlight w:val="none"/>
        </w:rPr>
        <w:t>Editorial correction of UE capability for R16 EN-DC combs within FR1</w:t>
      </w:r>
      <w:r>
        <w:rPr>
          <w:rFonts w:hint="default" w:ascii="Arial" w:hAnsi="Arial" w:cs="Arial"/>
          <w:bCs/>
          <w:highlight w:val="none"/>
          <w:lang w:val="en-US"/>
        </w:rPr>
        <w:t>, KDDI Corporation</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R5-242451</w:t>
      </w:r>
      <w:r>
        <w:rPr>
          <w:rFonts w:hint="default" w:ascii="Arial" w:hAnsi="Arial" w:cs="Arial"/>
          <w:bCs/>
          <w:highlight w:val="none"/>
          <w:lang w:val="en-US"/>
        </w:rPr>
        <w:tab/>
      </w:r>
      <w:r>
        <w:rPr>
          <w:rFonts w:hint="eastAsia" w:ascii="Arial" w:hAnsi="Arial" w:cs="Arial"/>
          <w:bCs/>
          <w:highlight w:val="none"/>
        </w:rPr>
        <w:t>Update for additional ENDC band configurations</w:t>
      </w:r>
      <w:r>
        <w:rPr>
          <w:rFonts w:hint="default" w:ascii="Arial" w:hAnsi="Arial" w:cs="Arial"/>
          <w:bCs/>
          <w:highlight w:val="none"/>
          <w:lang w:val="en-US"/>
        </w:rPr>
        <w:t>, Verizon</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R5-243607</w:t>
      </w:r>
      <w:r>
        <w:rPr>
          <w:rFonts w:hint="default" w:ascii="Arial" w:hAnsi="Arial" w:cs="Arial"/>
          <w:bCs/>
          <w:highlight w:val="none"/>
          <w:lang w:val="en-US"/>
        </w:rPr>
        <w:tab/>
      </w:r>
      <w:r>
        <w:rPr>
          <w:rFonts w:hint="eastAsia" w:ascii="Arial" w:hAnsi="Arial" w:cs="Arial"/>
          <w:bCs/>
          <w:highlight w:val="none"/>
        </w:rPr>
        <w:t>Addition of CA_n1A-n8A-n78A,CA_n3A-n8A-n78A into NR inter-band CA within FR1(three bands)</w:t>
      </w:r>
      <w:r>
        <w:rPr>
          <w:rFonts w:hint="default" w:ascii="Arial" w:hAnsi="Arial" w:cs="Arial"/>
          <w:bCs/>
          <w:highlight w:val="none"/>
          <w:lang w:val="en-US"/>
        </w:rPr>
        <w:t>, China Unicom</w:t>
      </w:r>
    </w:p>
    <w:p>
      <w:pPr>
        <w:overflowPunct/>
        <w:autoSpaceDE/>
        <w:autoSpaceDN/>
        <w:snapToGrid w:val="0"/>
        <w:spacing w:after="0"/>
        <w:textAlignment w:val="auto"/>
        <w:rPr>
          <w:rFonts w:hint="eastAsia" w:ascii="Arial" w:hAnsi="Arial" w:cs="Arial" w:eastAsiaTheme="minorEastAsia"/>
          <w:bCs/>
          <w:highlight w:val="yellow"/>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R5-242247</w:t>
      </w:r>
      <w:r>
        <w:rPr>
          <w:rFonts w:hint="eastAsia" w:ascii="Arial" w:hAnsi="Arial" w:cs="Arial"/>
          <w:bCs/>
          <w:highlight w:val="none"/>
        </w:rPr>
        <w:tab/>
      </w:r>
      <w:r>
        <w:rPr>
          <w:rFonts w:hint="eastAsia" w:ascii="Arial" w:hAnsi="Arial" w:cs="Arial"/>
          <w:bCs/>
          <w:highlight w:val="none"/>
        </w:rPr>
        <w:t>Addition of delta TIBc for CA_n28A-n40A</w:t>
      </w:r>
      <w:r>
        <w:rPr>
          <w:rFonts w:hint="default" w:ascii="Arial" w:hAnsi="Arial" w:cs="Arial"/>
          <w:bCs/>
          <w:highlight w:val="none"/>
          <w:lang w:val="en-US"/>
        </w:rPr>
        <w:t>, KDDI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R5-243027</w:t>
      </w:r>
      <w:r>
        <w:rPr>
          <w:rFonts w:hint="eastAsia" w:ascii="Arial" w:hAnsi="Arial" w:cs="Arial"/>
          <w:bCs/>
          <w:highlight w:val="none"/>
        </w:rPr>
        <w:tab/>
      </w:r>
      <w:r>
        <w:rPr>
          <w:rFonts w:hint="eastAsia" w:ascii="Arial" w:hAnsi="Arial" w:cs="Arial"/>
          <w:bCs/>
          <w:highlight w:val="none"/>
        </w:rPr>
        <w:t>Addition of delta TIB into 6.2A.4.0.2.3 for CA_n3A-n8A-n78A</w:t>
      </w:r>
      <w:r>
        <w:rPr>
          <w:rFonts w:hint="default" w:ascii="Arial" w:hAnsi="Arial" w:cs="Arial"/>
          <w:bCs/>
          <w:highlight w:val="none"/>
          <w:lang w:val="en-US"/>
        </w:rPr>
        <w:t>, China Unicom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R5-243816</w:t>
      </w:r>
      <w:r>
        <w:rPr>
          <w:rFonts w:hint="eastAsia" w:ascii="Arial" w:hAnsi="Arial" w:cs="Arial"/>
          <w:bCs/>
          <w:highlight w:val="none"/>
        </w:rPr>
        <w:tab/>
      </w:r>
      <w:r>
        <w:rPr>
          <w:rFonts w:hint="eastAsia" w:ascii="Arial" w:hAnsi="Arial" w:cs="Arial"/>
          <w:bCs/>
          <w:highlight w:val="none"/>
        </w:rPr>
        <w:t>Correction of spurious emission minimum conformance requirements for UE co-ex for inter-band 2UL Rel16</w:t>
      </w:r>
      <w:r>
        <w:rPr>
          <w:rFonts w:hint="default" w:ascii="Arial" w:hAnsi="Arial" w:cs="Arial"/>
          <w:bCs/>
          <w:highlight w:val="none"/>
          <w:lang w:val="en-US"/>
        </w:rPr>
        <w:t>, Apple, Keysight</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R5-243817</w:t>
      </w:r>
      <w:r>
        <w:rPr>
          <w:rFonts w:hint="eastAsia" w:ascii="Arial" w:hAnsi="Arial" w:cs="Arial"/>
          <w:bCs/>
          <w:highlight w:val="none"/>
        </w:rPr>
        <w:tab/>
      </w:r>
      <w:r>
        <w:rPr>
          <w:rFonts w:hint="eastAsia" w:ascii="Arial" w:hAnsi="Arial" w:cs="Arial"/>
          <w:bCs/>
          <w:highlight w:val="none"/>
        </w:rPr>
        <w:t>Correction of spurious emission test requirements for UE co-ex for CA (2UL CA) Rel-16</w:t>
      </w:r>
      <w:r>
        <w:rPr>
          <w:rFonts w:hint="default" w:ascii="Arial" w:hAnsi="Arial" w:cs="Arial"/>
          <w:bCs/>
          <w:highlight w:val="none"/>
          <w:lang w:val="en-US"/>
        </w:rPr>
        <w:t>, Apple, Keysight</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R5-243821</w:t>
      </w:r>
      <w:r>
        <w:rPr>
          <w:rFonts w:hint="eastAsia" w:ascii="Arial" w:hAnsi="Arial" w:cs="Arial"/>
          <w:bCs/>
          <w:highlight w:val="none"/>
        </w:rPr>
        <w:tab/>
      </w:r>
      <w:r>
        <w:rPr>
          <w:rFonts w:hint="eastAsia" w:ascii="Arial" w:hAnsi="Arial" w:cs="Arial"/>
          <w:bCs/>
          <w:highlight w:val="none"/>
        </w:rPr>
        <w:t>Addition of reference sensitivity for CA_n28A-n40A</w:t>
      </w:r>
      <w:r>
        <w:rPr>
          <w:rFonts w:hint="default" w:ascii="Arial" w:hAnsi="Arial" w:cs="Arial"/>
          <w:bCs/>
          <w:highlight w:val="none"/>
          <w:lang w:val="en-US"/>
        </w:rPr>
        <w:t>, KDDI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R5-242538</w:t>
      </w:r>
      <w:r>
        <w:rPr>
          <w:rFonts w:hint="eastAsia" w:ascii="Arial" w:hAnsi="Arial" w:cs="Arial"/>
          <w:bCs/>
          <w:highlight w:val="none"/>
        </w:rPr>
        <w:tab/>
      </w:r>
      <w:r>
        <w:rPr>
          <w:rFonts w:hint="eastAsia" w:ascii="Arial" w:hAnsi="Arial" w:cs="Arial"/>
          <w:bCs/>
          <w:highlight w:val="none"/>
        </w:rPr>
        <w:t>Addition of CA_n48C reference sensitivity requirement</w:t>
      </w:r>
      <w:r>
        <w:rPr>
          <w:rFonts w:hint="default" w:ascii="Arial" w:hAnsi="Arial" w:cs="Arial"/>
          <w:bCs/>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R5-243632</w:t>
      </w:r>
      <w:r>
        <w:rPr>
          <w:rFonts w:hint="eastAsia" w:ascii="Arial" w:hAnsi="Arial" w:cs="Arial"/>
          <w:bCs/>
          <w:highlight w:val="none"/>
        </w:rPr>
        <w:tab/>
      </w:r>
      <w:r>
        <w:rPr>
          <w:rFonts w:hint="eastAsia" w:ascii="Arial" w:hAnsi="Arial" w:cs="Arial"/>
          <w:bCs/>
          <w:highlight w:val="none"/>
        </w:rPr>
        <w:t>Addition of delta RIB into 7.3A.0.3.2.3 for CA_n3A-n8A-n78A</w:t>
      </w:r>
      <w:r>
        <w:rPr>
          <w:rFonts w:hint="default" w:ascii="Arial" w:hAnsi="Arial" w:cs="Arial"/>
          <w:bCs/>
          <w:highlight w:val="none"/>
          <w:lang w:val="en-US"/>
        </w:rPr>
        <w:t>, China Unicom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R5-243029</w:t>
      </w:r>
      <w:r>
        <w:rPr>
          <w:rFonts w:hint="eastAsia" w:ascii="Arial" w:hAnsi="Arial" w:cs="Arial"/>
          <w:bCs/>
          <w:highlight w:val="none"/>
        </w:rPr>
        <w:tab/>
      </w:r>
      <w:r>
        <w:rPr>
          <w:rFonts w:hint="eastAsia" w:ascii="Arial" w:hAnsi="Arial" w:cs="Arial"/>
          <w:bCs/>
          <w:highlight w:val="none"/>
        </w:rPr>
        <w:t>Addition of 3DL CA minimun requirements of reference sensitivity exceptions into 7.3A.0.5 for CA_n3A-n8A-n78A</w:t>
      </w:r>
      <w:r>
        <w:rPr>
          <w:rFonts w:hint="default" w:ascii="Arial" w:hAnsi="Arial" w:cs="Arial"/>
          <w:bCs/>
          <w:highlight w:val="none"/>
          <w:lang w:val="en-US"/>
        </w:rPr>
        <w:t>, China Unicom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R5-243617</w:t>
      </w:r>
      <w:r>
        <w:rPr>
          <w:rFonts w:hint="eastAsia" w:ascii="Arial" w:hAnsi="Arial" w:cs="Arial"/>
          <w:bCs/>
          <w:highlight w:val="none"/>
        </w:rPr>
        <w:tab/>
      </w:r>
      <w:r>
        <w:rPr>
          <w:rFonts w:hint="eastAsia" w:ascii="Arial" w:hAnsi="Arial" w:cs="Arial"/>
          <w:bCs/>
          <w:highlight w:val="none"/>
        </w:rPr>
        <w:t>Addition of 3DL CA reference sensitivity TC into 7.3A.2 for CA_n3A-n8A-n78A</w:t>
      </w:r>
      <w:r>
        <w:rPr>
          <w:rFonts w:hint="default" w:ascii="Arial" w:hAnsi="Arial" w:cs="Arial"/>
          <w:bCs/>
          <w:highlight w:val="none"/>
          <w:lang w:val="en-US"/>
        </w:rPr>
        <w:t>, China Unicom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R5-243045</w:t>
      </w:r>
      <w:r>
        <w:rPr>
          <w:rFonts w:hint="eastAsia" w:ascii="Arial" w:hAnsi="Arial" w:cs="Arial"/>
          <w:bCs/>
          <w:highlight w:val="none"/>
        </w:rPr>
        <w:tab/>
      </w:r>
      <w:r>
        <w:rPr>
          <w:rFonts w:hint="eastAsia" w:ascii="Arial" w:hAnsi="Arial" w:cs="Arial"/>
          <w:bCs/>
          <w:highlight w:val="none"/>
        </w:rPr>
        <w:t>Update to REFSENSE TC for CA_n79C</w:t>
      </w:r>
      <w:r>
        <w:rPr>
          <w:rFonts w:hint="default" w:ascii="Arial" w:hAnsi="Arial" w:cs="Arial"/>
          <w:bCs/>
          <w:highlight w:val="none"/>
          <w:lang w:val="en-US"/>
        </w:rPr>
        <w:t>, CMCC</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R5-242572</w:t>
      </w:r>
      <w:r>
        <w:rPr>
          <w:rFonts w:hint="eastAsia" w:ascii="Arial" w:hAnsi="Arial" w:cs="Arial"/>
          <w:bCs/>
          <w:highlight w:val="none"/>
        </w:rPr>
        <w:tab/>
      </w:r>
      <w:r>
        <w:rPr>
          <w:rFonts w:hint="eastAsia" w:ascii="Arial" w:hAnsi="Arial" w:cs="Arial"/>
          <w:bCs/>
          <w:highlight w:val="none"/>
        </w:rPr>
        <w:t>General updates of TS 38.521-1 clause 5 for R16 CA configurations</w:t>
      </w:r>
      <w:r>
        <w:rPr>
          <w:rFonts w:hint="default" w:ascii="Arial" w:hAnsi="Arial" w:cs="Arial"/>
          <w:bCs/>
          <w:highlight w:val="none"/>
          <w:lang w:val="en-US"/>
        </w:rPr>
        <w:t>, China Unicom, KDDI</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R5-243665</w:t>
      </w:r>
      <w:r>
        <w:rPr>
          <w:rFonts w:hint="eastAsia" w:ascii="Arial" w:hAnsi="Arial" w:cs="Arial"/>
          <w:bCs/>
          <w:highlight w:val="none"/>
        </w:rPr>
        <w:tab/>
      </w:r>
      <w:r>
        <w:rPr>
          <w:rFonts w:hint="eastAsia" w:ascii="Arial" w:hAnsi="Arial" w:cs="Arial"/>
          <w:bCs/>
          <w:highlight w:val="none"/>
        </w:rPr>
        <w:t>Core requirements alignment for UE co-existence of Inter-band within FR1</w:t>
      </w:r>
      <w:r>
        <w:rPr>
          <w:rFonts w:hint="default" w:ascii="Arial" w:hAnsi="Arial" w:cs="Arial"/>
          <w:bCs/>
          <w:highlight w:val="none"/>
          <w:lang w:val="en-US"/>
        </w:rPr>
        <w:t xml:space="preserve">, </w:t>
      </w:r>
      <w:r>
        <w:rPr>
          <w:rFonts w:hint="eastAsia" w:ascii="Arial" w:hAnsi="Arial" w:cs="Arial"/>
          <w:bCs/>
          <w:highlight w:val="none"/>
        </w:rPr>
        <w:t>CAICT</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R5-24366</w:t>
      </w:r>
      <w:r>
        <w:rPr>
          <w:rFonts w:hint="eastAsia" w:ascii="Arial" w:hAnsi="Arial" w:eastAsia="宋体" w:cs="Arial"/>
          <w:bCs/>
          <w:highlight w:val="none"/>
          <w:lang w:val="en-US" w:eastAsia="zh-CN"/>
        </w:rPr>
        <w:t>6</w:t>
      </w:r>
      <w:r>
        <w:rPr>
          <w:rFonts w:hint="eastAsia" w:ascii="Arial" w:hAnsi="Arial" w:cs="Arial"/>
          <w:bCs/>
          <w:highlight w:val="none"/>
        </w:rPr>
        <w:tab/>
      </w:r>
      <w:r>
        <w:rPr>
          <w:rFonts w:hint="eastAsia" w:ascii="Arial" w:hAnsi="Arial" w:cs="Arial"/>
          <w:bCs/>
          <w:highlight w:val="none"/>
        </w:rPr>
        <w:t>Addition of delta TIBc for R16 inter-band EN-DC within FR1</w:t>
      </w:r>
      <w:r>
        <w:rPr>
          <w:rFonts w:hint="default" w:ascii="Arial" w:hAnsi="Arial" w:cs="Arial"/>
          <w:bCs/>
          <w:highlight w:val="none"/>
          <w:lang w:val="en-US"/>
        </w:rPr>
        <w:t xml:space="preserve">, </w:t>
      </w:r>
      <w:r>
        <w:rPr>
          <w:rFonts w:hint="eastAsia" w:ascii="Arial" w:hAnsi="Arial" w:cs="Arial"/>
          <w:bCs/>
          <w:highlight w:val="none"/>
        </w:rPr>
        <w:t>KT Corp.</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R5-24366</w:t>
      </w:r>
      <w:r>
        <w:rPr>
          <w:rFonts w:hint="eastAsia" w:ascii="Arial" w:hAnsi="Arial" w:eastAsia="宋体" w:cs="Arial"/>
          <w:bCs/>
          <w:highlight w:val="none"/>
          <w:lang w:val="en-US" w:eastAsia="zh-CN"/>
        </w:rPr>
        <w:t>7</w:t>
      </w:r>
      <w:r>
        <w:rPr>
          <w:rFonts w:hint="eastAsia" w:ascii="Arial" w:hAnsi="Arial" w:cs="Arial"/>
          <w:bCs/>
          <w:highlight w:val="none"/>
        </w:rPr>
        <w:tab/>
      </w:r>
      <w:r>
        <w:rPr>
          <w:rFonts w:hint="eastAsia" w:ascii="Arial" w:hAnsi="Arial" w:cs="Arial"/>
          <w:bCs/>
          <w:highlight w:val="none"/>
        </w:rPr>
        <w:t>Addition of new test case 6.4B.1.4_1.6 Frequency Error for Inter-band EN-DC including FR2 for 7 NR CCs</w:t>
      </w:r>
      <w:r>
        <w:rPr>
          <w:rFonts w:hint="default" w:ascii="Arial" w:hAnsi="Arial" w:cs="Arial"/>
          <w:bCs/>
          <w:highlight w:val="none"/>
          <w:lang w:val="en-US"/>
        </w:rPr>
        <w:t xml:space="preserve">, </w:t>
      </w:r>
      <w:r>
        <w:rPr>
          <w:rFonts w:hint="eastAsia" w:ascii="Arial" w:hAnsi="Arial" w:cs="Arial"/>
          <w:bCs/>
          <w:highlight w:val="none"/>
        </w:rPr>
        <w:t>KT Corp.</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R5-243668</w:t>
      </w:r>
      <w:r>
        <w:rPr>
          <w:rFonts w:hint="eastAsia" w:ascii="Arial" w:hAnsi="Arial" w:cs="Arial"/>
          <w:bCs/>
          <w:highlight w:val="none"/>
        </w:rPr>
        <w:tab/>
      </w:r>
      <w:r>
        <w:rPr>
          <w:rFonts w:hint="eastAsia" w:ascii="Arial" w:hAnsi="Arial" w:cs="Arial"/>
          <w:bCs/>
          <w:highlight w:val="none"/>
        </w:rPr>
        <w:t>Addition of minimum requirements of reference sensitivity exceptions for R16 inter-band EN-DC within FR1</w:t>
      </w:r>
      <w:r>
        <w:rPr>
          <w:rFonts w:hint="default" w:ascii="Arial" w:hAnsi="Arial" w:cs="Arial"/>
          <w:bCs/>
          <w:highlight w:val="none"/>
          <w:lang w:val="en-US"/>
        </w:rPr>
        <w:t xml:space="preserve">, </w:t>
      </w:r>
      <w:r>
        <w:rPr>
          <w:rFonts w:hint="eastAsia" w:ascii="Arial" w:hAnsi="Arial" w:cs="Arial"/>
          <w:bCs/>
          <w:highlight w:val="none"/>
        </w:rPr>
        <w:t>KT Corp.</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R5-242452</w:t>
      </w:r>
      <w:r>
        <w:rPr>
          <w:rFonts w:hint="eastAsia" w:ascii="Arial" w:hAnsi="Arial" w:cs="Arial"/>
          <w:bCs/>
          <w:highlight w:val="none"/>
        </w:rPr>
        <w:tab/>
      </w:r>
      <w:r>
        <w:rPr>
          <w:rFonts w:hint="eastAsia" w:ascii="Arial" w:hAnsi="Arial" w:cs="Arial"/>
          <w:bCs/>
          <w:highlight w:val="none"/>
        </w:rPr>
        <w:t xml:space="preserve"> Update for additional ENDC band configurations</w:t>
      </w:r>
      <w:r>
        <w:rPr>
          <w:rFonts w:hint="default" w:ascii="Arial" w:hAnsi="Arial" w:cs="Arial"/>
          <w:bCs/>
          <w:highlight w:val="none"/>
          <w:lang w:val="en-US"/>
        </w:rPr>
        <w:t xml:space="preserve">, </w:t>
      </w:r>
      <w:r>
        <w:rPr>
          <w:rFonts w:hint="eastAsia" w:ascii="Arial" w:hAnsi="Arial" w:cs="Arial"/>
          <w:bCs/>
          <w:highlight w:val="none"/>
        </w:rPr>
        <w:t>Verizon Spain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R5-243669</w:t>
      </w:r>
      <w:r>
        <w:rPr>
          <w:rFonts w:hint="eastAsia" w:ascii="Arial" w:hAnsi="Arial" w:cs="Arial"/>
          <w:bCs/>
          <w:highlight w:val="none"/>
        </w:rPr>
        <w:tab/>
      </w:r>
      <w:r>
        <w:rPr>
          <w:rFonts w:hint="eastAsia" w:ascii="Arial" w:hAnsi="Arial" w:cs="Arial"/>
          <w:bCs/>
          <w:highlight w:val="none"/>
        </w:rPr>
        <w:t>Update of R16 Configuration for inter-band EN-DC</w:t>
      </w:r>
      <w:r>
        <w:rPr>
          <w:rFonts w:hint="default" w:ascii="Arial" w:hAnsi="Arial" w:cs="Arial"/>
          <w:bCs/>
          <w:highlight w:val="none"/>
          <w:lang w:val="en-US"/>
        </w:rPr>
        <w:t xml:space="preserve">, </w:t>
      </w:r>
      <w:r>
        <w:rPr>
          <w:rFonts w:hint="eastAsia" w:ascii="Arial" w:hAnsi="Arial" w:cs="Arial"/>
          <w:bCs/>
          <w:highlight w:val="none"/>
        </w:rPr>
        <w:t>KT Corp.</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R5-243820</w:t>
      </w:r>
      <w:r>
        <w:rPr>
          <w:rFonts w:hint="eastAsia" w:ascii="Arial" w:hAnsi="Arial" w:cs="Arial"/>
          <w:bCs/>
          <w:highlight w:val="none"/>
        </w:rPr>
        <w:tab/>
      </w:r>
      <w:r>
        <w:rPr>
          <w:rFonts w:hint="eastAsia" w:ascii="Arial" w:hAnsi="Arial" w:cs="Arial"/>
          <w:bCs/>
          <w:highlight w:val="none"/>
        </w:rPr>
        <w:t>Addition of reference sensitivity TP analysis for CA_n28A-n40A, KDDI Corporation</w:t>
      </w:r>
    </w:p>
    <w:p>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R5-242536</w:t>
      </w:r>
      <w:r>
        <w:rPr>
          <w:rFonts w:hint="eastAsia" w:ascii="Arial" w:hAnsi="Arial" w:cs="Arial"/>
          <w:bCs/>
          <w:highlight w:val="none"/>
        </w:rPr>
        <w:tab/>
      </w:r>
      <w:r>
        <w:rPr>
          <w:rFonts w:hint="eastAsia" w:ascii="Arial" w:hAnsi="Arial" w:cs="Arial"/>
          <w:bCs/>
          <w:highlight w:val="none"/>
        </w:rPr>
        <w:t>Addition of TP analysis for CA_n48C, Ericsson</w:t>
      </w:r>
    </w:p>
    <w:p>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R5-243616</w:t>
      </w:r>
      <w:r>
        <w:rPr>
          <w:rFonts w:hint="eastAsia" w:ascii="Arial" w:hAnsi="Arial" w:cs="Arial"/>
          <w:bCs/>
          <w:highlight w:val="none"/>
        </w:rPr>
        <w:tab/>
      </w:r>
      <w:r>
        <w:rPr>
          <w:rFonts w:hint="eastAsia" w:ascii="Arial" w:hAnsi="Arial" w:cs="Arial"/>
          <w:bCs/>
          <w:highlight w:val="none"/>
        </w:rPr>
        <w:t>Update reference sensitivity TC for CA_n3A-n8A-n78A, China Unicom</w:t>
      </w:r>
    </w:p>
    <w:p>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R5-243044</w:t>
      </w:r>
      <w:r>
        <w:rPr>
          <w:rFonts w:hint="eastAsia" w:ascii="Arial" w:hAnsi="Arial" w:cs="Arial"/>
          <w:bCs/>
          <w:highlight w:val="none"/>
        </w:rPr>
        <w:tab/>
      </w:r>
      <w:r>
        <w:rPr>
          <w:rFonts w:hint="eastAsia" w:ascii="Arial" w:hAnsi="Arial" w:cs="Arial"/>
          <w:bCs/>
          <w:highlight w:val="none"/>
        </w:rPr>
        <w:t>Update REFSENSE TP analysis for CA_n79C, CMCC</w:t>
      </w: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C2C3ADDB"/>
    <w:multiLevelType w:val="singleLevel"/>
    <w:tmpl w:val="C2C3ADDB"/>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2376A44"/>
    <w:multiLevelType w:val="singleLevel"/>
    <w:tmpl w:val="42376A44"/>
    <w:lvl w:ilvl="0" w:tentative="0">
      <w:start w:val="1"/>
      <w:numFmt w:val="decimal"/>
      <w:lvlText w:val="[%1]"/>
      <w:lvlJc w:val="left"/>
    </w:lvl>
  </w:abstractNum>
  <w:abstractNum w:abstractNumId="6">
    <w:nsid w:val="54218F89"/>
    <w:multiLevelType w:val="singleLevel"/>
    <w:tmpl w:val="54218F89"/>
    <w:lvl w:ilvl="0" w:tentative="0">
      <w:start w:val="1"/>
      <w:numFmt w:val="decimal"/>
      <w:lvlText w:val="[%1]"/>
      <w:lvlJc w:val="left"/>
    </w:lvl>
  </w:abstractNum>
  <w:abstractNum w:abstractNumId="7">
    <w:nsid w:val="5CBB45CB"/>
    <w:multiLevelType w:val="singleLevel"/>
    <w:tmpl w:val="5CBB45CB"/>
    <w:lvl w:ilvl="0" w:tentative="0">
      <w:start w:val="1"/>
      <w:numFmt w:val="decimal"/>
      <w:lvlText w:val="[%1]"/>
      <w:lvlJc w:val="left"/>
      <w:rPr>
        <w:rFonts w:hint="default"/>
        <w:highlight w:val="none"/>
      </w:rPr>
    </w:lvl>
  </w:abstractNum>
  <w:abstractNum w:abstractNumId="8">
    <w:nsid w:val="5DF70F4A"/>
    <w:multiLevelType w:val="singleLevel"/>
    <w:tmpl w:val="5DF70F4A"/>
    <w:lvl w:ilvl="0" w:tentative="0">
      <w:start w:val="1"/>
      <w:numFmt w:val="decimal"/>
      <w:lvlText w:val="[%1]"/>
      <w:lvlJc w:val="left"/>
    </w:lvl>
  </w:abstractNum>
  <w:abstractNum w:abstractNumId="9">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9"/>
  </w:num>
  <w:num w:numId="3">
    <w:abstractNumId w:val="10"/>
  </w:num>
  <w:num w:numId="4">
    <w:abstractNumId w:val="2"/>
  </w:num>
  <w:num w:numId="5">
    <w:abstractNumId w:val="4"/>
  </w:num>
  <w:num w:numId="6">
    <w:abstractNumId w:val="5"/>
  </w:num>
  <w:num w:numId="7">
    <w:abstractNumId w:val="6"/>
  </w:num>
  <w:num w:numId="8">
    <w:abstractNumId w:val="1"/>
  </w:num>
  <w:num w:numId="9">
    <w:abstractNumId w:val="0"/>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658FD"/>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0D62C5"/>
    <w:rsid w:val="022919EF"/>
    <w:rsid w:val="027C12F0"/>
    <w:rsid w:val="028710B6"/>
    <w:rsid w:val="030C24A0"/>
    <w:rsid w:val="041232C2"/>
    <w:rsid w:val="04251DE3"/>
    <w:rsid w:val="04BA3A74"/>
    <w:rsid w:val="05346611"/>
    <w:rsid w:val="05B84D2F"/>
    <w:rsid w:val="06B81176"/>
    <w:rsid w:val="06C7528D"/>
    <w:rsid w:val="07655731"/>
    <w:rsid w:val="077546D3"/>
    <w:rsid w:val="07A0061B"/>
    <w:rsid w:val="08514AA2"/>
    <w:rsid w:val="08C52D6F"/>
    <w:rsid w:val="091C4700"/>
    <w:rsid w:val="09610307"/>
    <w:rsid w:val="0993721D"/>
    <w:rsid w:val="09DC39FA"/>
    <w:rsid w:val="0A561807"/>
    <w:rsid w:val="0A5C4C75"/>
    <w:rsid w:val="0A714452"/>
    <w:rsid w:val="0AE03636"/>
    <w:rsid w:val="0AEF497D"/>
    <w:rsid w:val="0BF92C62"/>
    <w:rsid w:val="0C491737"/>
    <w:rsid w:val="0C8C7802"/>
    <w:rsid w:val="0CCA4C5B"/>
    <w:rsid w:val="0CCD17D9"/>
    <w:rsid w:val="0CD62A61"/>
    <w:rsid w:val="0CE16D17"/>
    <w:rsid w:val="0D661ACC"/>
    <w:rsid w:val="0D8624A6"/>
    <w:rsid w:val="0E2D4DCF"/>
    <w:rsid w:val="0F243D4A"/>
    <w:rsid w:val="0F7B4D3E"/>
    <w:rsid w:val="0FFB1E00"/>
    <w:rsid w:val="10493E45"/>
    <w:rsid w:val="10725009"/>
    <w:rsid w:val="1085402A"/>
    <w:rsid w:val="10C4050C"/>
    <w:rsid w:val="11485B06"/>
    <w:rsid w:val="11C74327"/>
    <w:rsid w:val="11F94E2F"/>
    <w:rsid w:val="134C5737"/>
    <w:rsid w:val="137F6857"/>
    <w:rsid w:val="13A96C1F"/>
    <w:rsid w:val="13E00E92"/>
    <w:rsid w:val="13E27B34"/>
    <w:rsid w:val="13F913FB"/>
    <w:rsid w:val="14003FF8"/>
    <w:rsid w:val="142714DC"/>
    <w:rsid w:val="15CF0C2F"/>
    <w:rsid w:val="16680EBF"/>
    <w:rsid w:val="166E0E1E"/>
    <w:rsid w:val="170809D5"/>
    <w:rsid w:val="17170FF0"/>
    <w:rsid w:val="172B29B5"/>
    <w:rsid w:val="1752544D"/>
    <w:rsid w:val="17B752F6"/>
    <w:rsid w:val="17BF48B7"/>
    <w:rsid w:val="17F80A4D"/>
    <w:rsid w:val="182653AC"/>
    <w:rsid w:val="18D1609D"/>
    <w:rsid w:val="18E62942"/>
    <w:rsid w:val="18FB5BFD"/>
    <w:rsid w:val="1959399E"/>
    <w:rsid w:val="19D52A0C"/>
    <w:rsid w:val="1A234B48"/>
    <w:rsid w:val="1AA34E40"/>
    <w:rsid w:val="1AAD533D"/>
    <w:rsid w:val="1B2F650A"/>
    <w:rsid w:val="1B471EE3"/>
    <w:rsid w:val="1C474DD6"/>
    <w:rsid w:val="1CF76192"/>
    <w:rsid w:val="1D6E25D7"/>
    <w:rsid w:val="1D7B41ED"/>
    <w:rsid w:val="1DDD213A"/>
    <w:rsid w:val="1E3C0C8A"/>
    <w:rsid w:val="1E4D1D12"/>
    <w:rsid w:val="1ECD2158"/>
    <w:rsid w:val="1EEE4F9E"/>
    <w:rsid w:val="201A7D13"/>
    <w:rsid w:val="209434C3"/>
    <w:rsid w:val="20F17E64"/>
    <w:rsid w:val="211B5CA2"/>
    <w:rsid w:val="214100E4"/>
    <w:rsid w:val="223B6499"/>
    <w:rsid w:val="22784192"/>
    <w:rsid w:val="22B91B86"/>
    <w:rsid w:val="22C30655"/>
    <w:rsid w:val="22C95DFC"/>
    <w:rsid w:val="22CA5536"/>
    <w:rsid w:val="22FE1AA1"/>
    <w:rsid w:val="2318410F"/>
    <w:rsid w:val="23402624"/>
    <w:rsid w:val="238106FE"/>
    <w:rsid w:val="24A65971"/>
    <w:rsid w:val="24BF7F14"/>
    <w:rsid w:val="250F1A33"/>
    <w:rsid w:val="257F3C6D"/>
    <w:rsid w:val="259F532A"/>
    <w:rsid w:val="260D46A5"/>
    <w:rsid w:val="26DF273B"/>
    <w:rsid w:val="27721341"/>
    <w:rsid w:val="27A5681B"/>
    <w:rsid w:val="27B45DAA"/>
    <w:rsid w:val="28A33A5D"/>
    <w:rsid w:val="29047A6F"/>
    <w:rsid w:val="29346695"/>
    <w:rsid w:val="298617E8"/>
    <w:rsid w:val="298F20C5"/>
    <w:rsid w:val="29B82438"/>
    <w:rsid w:val="29D323A4"/>
    <w:rsid w:val="29FC6EDA"/>
    <w:rsid w:val="2A100B44"/>
    <w:rsid w:val="2A2F7CCA"/>
    <w:rsid w:val="2A8948BD"/>
    <w:rsid w:val="2AB5191D"/>
    <w:rsid w:val="2AC84DA8"/>
    <w:rsid w:val="2B126A1B"/>
    <w:rsid w:val="2B3653F3"/>
    <w:rsid w:val="2B491CB8"/>
    <w:rsid w:val="2BD51B9B"/>
    <w:rsid w:val="2BD6533E"/>
    <w:rsid w:val="2BDF6E9E"/>
    <w:rsid w:val="2BE05BC7"/>
    <w:rsid w:val="2C446BA3"/>
    <w:rsid w:val="2DAA05D8"/>
    <w:rsid w:val="2DB1478E"/>
    <w:rsid w:val="2DE35FF4"/>
    <w:rsid w:val="2E1B20C9"/>
    <w:rsid w:val="2E9E478E"/>
    <w:rsid w:val="2EFC06C5"/>
    <w:rsid w:val="2FF3223A"/>
    <w:rsid w:val="30B56ABF"/>
    <w:rsid w:val="315839B4"/>
    <w:rsid w:val="31633352"/>
    <w:rsid w:val="318D3859"/>
    <w:rsid w:val="31A17397"/>
    <w:rsid w:val="32544677"/>
    <w:rsid w:val="325A2B5B"/>
    <w:rsid w:val="325E76C2"/>
    <w:rsid w:val="32FD734C"/>
    <w:rsid w:val="33256939"/>
    <w:rsid w:val="33331563"/>
    <w:rsid w:val="33A906AE"/>
    <w:rsid w:val="33C1774E"/>
    <w:rsid w:val="33CD0EA3"/>
    <w:rsid w:val="34602205"/>
    <w:rsid w:val="3481153E"/>
    <w:rsid w:val="34BD0111"/>
    <w:rsid w:val="34CA6229"/>
    <w:rsid w:val="358C60CB"/>
    <w:rsid w:val="35C14E2B"/>
    <w:rsid w:val="35C220F9"/>
    <w:rsid w:val="36156987"/>
    <w:rsid w:val="36366780"/>
    <w:rsid w:val="36C0314D"/>
    <w:rsid w:val="36F84F27"/>
    <w:rsid w:val="373C242D"/>
    <w:rsid w:val="37566FA6"/>
    <w:rsid w:val="37A043C9"/>
    <w:rsid w:val="37A874BA"/>
    <w:rsid w:val="381A7C1A"/>
    <w:rsid w:val="38897E9C"/>
    <w:rsid w:val="38AE07B8"/>
    <w:rsid w:val="38D35E9A"/>
    <w:rsid w:val="396F6ADE"/>
    <w:rsid w:val="39F76794"/>
    <w:rsid w:val="3A1B33EE"/>
    <w:rsid w:val="3AD545FA"/>
    <w:rsid w:val="3B642D81"/>
    <w:rsid w:val="3B981C3F"/>
    <w:rsid w:val="3BB4699D"/>
    <w:rsid w:val="3C287A36"/>
    <w:rsid w:val="3C8C77D2"/>
    <w:rsid w:val="3D147FA9"/>
    <w:rsid w:val="3D21592B"/>
    <w:rsid w:val="3D263ADF"/>
    <w:rsid w:val="3D3A77C4"/>
    <w:rsid w:val="3E772A67"/>
    <w:rsid w:val="3E871D4E"/>
    <w:rsid w:val="3EED438A"/>
    <w:rsid w:val="3F006685"/>
    <w:rsid w:val="3F2029A0"/>
    <w:rsid w:val="3F9404A9"/>
    <w:rsid w:val="402E502A"/>
    <w:rsid w:val="40CF2C10"/>
    <w:rsid w:val="41192D48"/>
    <w:rsid w:val="41780576"/>
    <w:rsid w:val="41917CA2"/>
    <w:rsid w:val="419D729C"/>
    <w:rsid w:val="41A66DEA"/>
    <w:rsid w:val="41B6005B"/>
    <w:rsid w:val="424F6933"/>
    <w:rsid w:val="42582175"/>
    <w:rsid w:val="433F3137"/>
    <w:rsid w:val="43F27C58"/>
    <w:rsid w:val="43FA1C50"/>
    <w:rsid w:val="43FC09FB"/>
    <w:rsid w:val="44011FBC"/>
    <w:rsid w:val="446B3DCC"/>
    <w:rsid w:val="44A863C7"/>
    <w:rsid w:val="44A86E8E"/>
    <w:rsid w:val="44CA344D"/>
    <w:rsid w:val="4537221B"/>
    <w:rsid w:val="4565185F"/>
    <w:rsid w:val="457B4F58"/>
    <w:rsid w:val="45C52B27"/>
    <w:rsid w:val="465D6A56"/>
    <w:rsid w:val="46A731FE"/>
    <w:rsid w:val="47461F7B"/>
    <w:rsid w:val="47731B21"/>
    <w:rsid w:val="479D0AE2"/>
    <w:rsid w:val="494E2AE2"/>
    <w:rsid w:val="497C3319"/>
    <w:rsid w:val="49CA28CA"/>
    <w:rsid w:val="49F22E5E"/>
    <w:rsid w:val="4A18381B"/>
    <w:rsid w:val="4A9956F2"/>
    <w:rsid w:val="4ABD2E34"/>
    <w:rsid w:val="4AFB7575"/>
    <w:rsid w:val="4B686E57"/>
    <w:rsid w:val="4BAE1173"/>
    <w:rsid w:val="4BD612AA"/>
    <w:rsid w:val="4C3951E7"/>
    <w:rsid w:val="4CAA3C3C"/>
    <w:rsid w:val="4CFF00F9"/>
    <w:rsid w:val="4E090B0D"/>
    <w:rsid w:val="4EC57728"/>
    <w:rsid w:val="4ED44078"/>
    <w:rsid w:val="4FBF2598"/>
    <w:rsid w:val="4FC46AED"/>
    <w:rsid w:val="505C15B7"/>
    <w:rsid w:val="50DE3CF0"/>
    <w:rsid w:val="50F07938"/>
    <w:rsid w:val="511A161C"/>
    <w:rsid w:val="514873A9"/>
    <w:rsid w:val="51867FC6"/>
    <w:rsid w:val="519E4702"/>
    <w:rsid w:val="52855072"/>
    <w:rsid w:val="528928B2"/>
    <w:rsid w:val="52E743A7"/>
    <w:rsid w:val="530F54B6"/>
    <w:rsid w:val="536B3BD4"/>
    <w:rsid w:val="53B04C0A"/>
    <w:rsid w:val="53F958D8"/>
    <w:rsid w:val="54037BF9"/>
    <w:rsid w:val="546B356B"/>
    <w:rsid w:val="550C4193"/>
    <w:rsid w:val="553D0DE7"/>
    <w:rsid w:val="55CF39F8"/>
    <w:rsid w:val="55D43E1D"/>
    <w:rsid w:val="56417186"/>
    <w:rsid w:val="565500FC"/>
    <w:rsid w:val="56693C0D"/>
    <w:rsid w:val="56AC1BD2"/>
    <w:rsid w:val="56ED686C"/>
    <w:rsid w:val="57042F39"/>
    <w:rsid w:val="577B4EB1"/>
    <w:rsid w:val="57803D0C"/>
    <w:rsid w:val="57DE1C07"/>
    <w:rsid w:val="57E67271"/>
    <w:rsid w:val="57E96447"/>
    <w:rsid w:val="58140590"/>
    <w:rsid w:val="583037FC"/>
    <w:rsid w:val="58A6789C"/>
    <w:rsid w:val="59A46FC2"/>
    <w:rsid w:val="59DC06D5"/>
    <w:rsid w:val="59DE55FD"/>
    <w:rsid w:val="5A764C5D"/>
    <w:rsid w:val="5B140EFE"/>
    <w:rsid w:val="5B425E87"/>
    <w:rsid w:val="5C0442B4"/>
    <w:rsid w:val="5C105DD5"/>
    <w:rsid w:val="5C15494A"/>
    <w:rsid w:val="5C937AAA"/>
    <w:rsid w:val="5CE369BD"/>
    <w:rsid w:val="5CE94A8C"/>
    <w:rsid w:val="5D292E01"/>
    <w:rsid w:val="5D3E5F1D"/>
    <w:rsid w:val="5D936419"/>
    <w:rsid w:val="5DE70B6F"/>
    <w:rsid w:val="5E6423D0"/>
    <w:rsid w:val="5EA17612"/>
    <w:rsid w:val="5EE914C3"/>
    <w:rsid w:val="5FB11B4F"/>
    <w:rsid w:val="60262045"/>
    <w:rsid w:val="603B48EF"/>
    <w:rsid w:val="604307FB"/>
    <w:rsid w:val="606426A5"/>
    <w:rsid w:val="60642DCD"/>
    <w:rsid w:val="60A245CA"/>
    <w:rsid w:val="60D90D7F"/>
    <w:rsid w:val="6104617A"/>
    <w:rsid w:val="61D74375"/>
    <w:rsid w:val="622A3A31"/>
    <w:rsid w:val="625D00A5"/>
    <w:rsid w:val="632D4A46"/>
    <w:rsid w:val="642E000F"/>
    <w:rsid w:val="64457A91"/>
    <w:rsid w:val="64854DD4"/>
    <w:rsid w:val="64983C98"/>
    <w:rsid w:val="64BC5151"/>
    <w:rsid w:val="65963181"/>
    <w:rsid w:val="65C130BB"/>
    <w:rsid w:val="665C1124"/>
    <w:rsid w:val="66624588"/>
    <w:rsid w:val="66F1329B"/>
    <w:rsid w:val="67643386"/>
    <w:rsid w:val="67D1711C"/>
    <w:rsid w:val="67FC2262"/>
    <w:rsid w:val="685811C0"/>
    <w:rsid w:val="68611741"/>
    <w:rsid w:val="69073501"/>
    <w:rsid w:val="69132569"/>
    <w:rsid w:val="692C1198"/>
    <w:rsid w:val="69B85AE0"/>
    <w:rsid w:val="6AA01C4A"/>
    <w:rsid w:val="6ACA4BAE"/>
    <w:rsid w:val="6ACC2E43"/>
    <w:rsid w:val="6B0A3FAC"/>
    <w:rsid w:val="6B7437DE"/>
    <w:rsid w:val="6C123B58"/>
    <w:rsid w:val="6C32527F"/>
    <w:rsid w:val="6CD90B00"/>
    <w:rsid w:val="6D1A1C3F"/>
    <w:rsid w:val="6DB71C5D"/>
    <w:rsid w:val="6E156FA4"/>
    <w:rsid w:val="6E702B04"/>
    <w:rsid w:val="6EA46CDF"/>
    <w:rsid w:val="6EBE46A5"/>
    <w:rsid w:val="6ED2496B"/>
    <w:rsid w:val="6F6C0CDE"/>
    <w:rsid w:val="6FAB6581"/>
    <w:rsid w:val="6FB03B39"/>
    <w:rsid w:val="6FD47408"/>
    <w:rsid w:val="7159230B"/>
    <w:rsid w:val="716C4455"/>
    <w:rsid w:val="71967069"/>
    <w:rsid w:val="725F0CB0"/>
    <w:rsid w:val="729C0B15"/>
    <w:rsid w:val="72DC6D08"/>
    <w:rsid w:val="730E7B52"/>
    <w:rsid w:val="733656DB"/>
    <w:rsid w:val="740578E3"/>
    <w:rsid w:val="75575526"/>
    <w:rsid w:val="758571F4"/>
    <w:rsid w:val="75B8753B"/>
    <w:rsid w:val="75CB3348"/>
    <w:rsid w:val="76055BB3"/>
    <w:rsid w:val="76896D93"/>
    <w:rsid w:val="76D72135"/>
    <w:rsid w:val="76FF5472"/>
    <w:rsid w:val="77CA3C95"/>
    <w:rsid w:val="77D210A2"/>
    <w:rsid w:val="77D5674B"/>
    <w:rsid w:val="77EF25DA"/>
    <w:rsid w:val="78657627"/>
    <w:rsid w:val="78705664"/>
    <w:rsid w:val="78CF7CC0"/>
    <w:rsid w:val="790F0AA9"/>
    <w:rsid w:val="7A147179"/>
    <w:rsid w:val="7AA2216E"/>
    <w:rsid w:val="7AA44306"/>
    <w:rsid w:val="7AC73667"/>
    <w:rsid w:val="7B8D68BF"/>
    <w:rsid w:val="7B900E44"/>
    <w:rsid w:val="7C281A47"/>
    <w:rsid w:val="7CD92593"/>
    <w:rsid w:val="7DC1685E"/>
    <w:rsid w:val="7DCC360E"/>
    <w:rsid w:val="7DD34A51"/>
    <w:rsid w:val="7DD85694"/>
    <w:rsid w:val="7EDE51CE"/>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39</TotalTime>
  <ScaleCrop>false</ScaleCrop>
  <LinksUpToDate>false</LinksUpToDate>
  <CharactersWithSpaces>5612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Luyang Zhao-CMCC</cp:lastModifiedBy>
  <dcterms:modified xsi:type="dcterms:W3CDTF">2024-05-23T14:19:59Z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7C5F324B677C499B825885982C4F5BBE</vt:lpwstr>
  </property>
</Properties>
</file>